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5" w:rsidRDefault="00662F85" w:rsidP="00743390">
      <w:pPr>
        <w:pStyle w:val="Ttulo4"/>
        <w:tabs>
          <w:tab w:val="left" w:pos="7210"/>
        </w:tabs>
        <w:rPr>
          <w:rFonts w:eastAsia="Times New Roman"/>
          <w:lang w:eastAsia="es-ES"/>
        </w:rPr>
      </w:pPr>
      <w:r w:rsidRPr="00662F85">
        <w:rPr>
          <w:rFonts w:eastAsia="Times New Roman"/>
          <w:lang w:eastAsia="es-ES"/>
        </w:rPr>
        <w:t>Museo Nacional del Prado, Pintura italiana del Renacimiento</w:t>
      </w:r>
      <w:r w:rsidR="00743390">
        <w:rPr>
          <w:rFonts w:eastAsia="Times New Roman"/>
          <w:lang w:eastAsia="es-ES"/>
        </w:rPr>
        <w:tab/>
      </w:r>
    </w:p>
    <w:p w:rsidR="00743390" w:rsidRPr="00743390" w:rsidRDefault="00743390" w:rsidP="00743390">
      <w:pPr>
        <w:rPr>
          <w:lang w:eastAsia="es-ES"/>
        </w:rPr>
      </w:pPr>
    </w:p>
    <w:p w:rsidR="00662F85" w:rsidRPr="00662F85" w:rsidRDefault="00662F85" w:rsidP="00743390">
      <w:pPr>
        <w:pStyle w:val="Ttul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/>
          <w:bdr w:val="none" w:sz="0" w:space="0" w:color="auto" w:frame="1"/>
          <w:shd w:val="clear" w:color="auto" w:fill="FFFFFF"/>
          <w:lang w:eastAsia="es-ES"/>
        </w:rPr>
        <w:t>LA ANUNCIACIÓN</w:t>
      </w:r>
      <w:r w:rsidR="006A77E1">
        <w:rPr>
          <w:rFonts w:eastAsia="Times New Roman"/>
          <w:bdr w:val="none" w:sz="0" w:space="0" w:color="auto" w:frame="1"/>
          <w:shd w:val="clear" w:color="auto" w:fill="FFFFFF"/>
          <w:lang w:eastAsia="es-ES"/>
        </w:rPr>
        <w:br/>
      </w:r>
      <w:r w:rsidRPr="00662F85">
        <w:rPr>
          <w:rFonts w:ascii="Hoefler Text B" w:eastAsia="Times New Roman" w:hAnsi="Hoefler Text B" w:cs="Times New Roman"/>
          <w:color w:val="6C6C6C"/>
          <w:sz w:val="24"/>
          <w:szCs w:val="24"/>
          <w:bdr w:val="none" w:sz="0" w:space="0" w:color="auto" w:frame="1"/>
          <w:shd w:val="clear" w:color="auto" w:fill="FFFFFF"/>
          <w:lang w:eastAsia="es-ES"/>
        </w:rPr>
        <w:t>Hacia 1426. Témpera</w:t>
      </w:r>
      <w:r w:rsidR="00743390">
        <w:rPr>
          <w:rFonts w:ascii="Hoefler Text B" w:eastAsia="Times New Roman" w:hAnsi="Hoefler Text B" w:cs="Times New Roman"/>
          <w:color w:val="6C6C6C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sobre tabla, 162,3 x 191,5 cm. [</w:t>
      </w:r>
      <w:hyperlink r:id="rId5" w:history="1">
        <w:r w:rsidRPr="00662F85">
          <w:rPr>
            <w:rFonts w:ascii="Hoefler Text B" w:eastAsia="Times New Roman" w:hAnsi="Hoefler Text B" w:cs="Times New Roman"/>
            <w:color w:val="A71C15"/>
            <w:sz w:val="24"/>
            <w:szCs w:val="24"/>
            <w:bdr w:val="none" w:sz="0" w:space="0" w:color="auto" w:frame="1"/>
            <w:shd w:val="clear" w:color="auto" w:fill="FFFFFF"/>
            <w:lang w:eastAsia="es-ES"/>
          </w:rPr>
          <w:t>Sala 056B</w:t>
        </w:r>
      </w:hyperlink>
      <w:r w:rsidR="00743390">
        <w:rPr>
          <w:rFonts w:ascii="Hoefler Text B" w:eastAsia="Times New Roman" w:hAnsi="Hoefler Text B" w:cs="Times New Roman"/>
          <w:color w:val="A71C15"/>
          <w:sz w:val="24"/>
          <w:szCs w:val="24"/>
          <w:bdr w:val="none" w:sz="0" w:space="0" w:color="auto" w:frame="1"/>
          <w:shd w:val="clear" w:color="auto" w:fill="FFFFFF"/>
          <w:lang w:eastAsia="es-ES"/>
        </w:rPr>
        <w:t>]</w:t>
      </w:r>
      <w:bookmarkStart w:id="0" w:name="_GoBack"/>
      <w:bookmarkEnd w:id="0"/>
    </w:p>
    <w:p w:rsidR="00662F85" w:rsidRPr="00662F85" w:rsidRDefault="00662F85" w:rsidP="00662F85">
      <w:pPr>
        <w:shd w:val="clear" w:color="auto" w:fill="FFFFFF"/>
        <w:spacing w:after="0" w:line="428" w:lineRule="atLeast"/>
        <w:textAlignment w:val="baseline"/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</w:pP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Aunque Guido di Piero trabajó como pintor e iluminador en </w:t>
      </w:r>
      <w:hyperlink r:id="rId6" w:tgtFrame="_blank" w:history="1"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>Florencia</w:t>
        </w:r>
      </w:hyperlink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 con anterioridad a su ordenación como dominico hacia 1420-1422 y la adopción del nombre de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Fra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Giovanni de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"https://es.wikipedia.org/wiki/Fiesole"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Fiesole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 (sólo fue llamado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"https://es.wikipedia.org/wiki/Fra_Ang%C3%A9lico"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Fra</w:t>
      </w:r>
      <w:proofErr w:type="spellEnd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 xml:space="preserve"> </w:t>
      </w:r>
      <w:proofErr w:type="spellStart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Angelico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 tras su muerte), sus primeras obras documentadas se fechan entre 1423 y 1429. Dentro de este periodo se incluye la realización de esta obra, pintada para el convento de Santo Domingo en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Fiésole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y probablemente sufragada por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Angelo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di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Zanobi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di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Taddeo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Gaddi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, nieto del pintor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"https://es.wikipedia.org/wiki/Taddeo_Gaddi"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Taddeo</w:t>
      </w:r>
      <w:proofErr w:type="spellEnd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 xml:space="preserve"> </w:t>
      </w:r>
      <w:proofErr w:type="spellStart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Gaddi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. Minusvalorada durante décadas por la crítica, que la tenía por versión tardía de 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La Anunciación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 de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Cortona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con amplia participación de taller, 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La Anunciación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 del </w:t>
      </w:r>
      <w:hyperlink r:id="rId7" w:tgtFrame="_blank" w:history="1"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>Prado</w:t>
        </w:r>
      </w:hyperlink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 es considerada actualmente una de las primeras obras maestras de su autor, y fue realizada en un momento decisivo para el arte florentino, cuando trabajaban en la ciudad epígonos del gótico internacional como </w:t>
      </w:r>
      <w:hyperlink r:id="rId8" w:tgtFrame="_blank" w:history="1"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 xml:space="preserve">Lorenzo </w:t>
        </w:r>
        <w:proofErr w:type="spellStart"/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>Monaco</w:t>
        </w:r>
        <w:proofErr w:type="spellEnd"/>
      </w:hyperlink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 o </w:t>
      </w:r>
      <w:hyperlink r:id="rId9" w:tgtFrame="_blank" w:history="1"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 xml:space="preserve">Gerardo </w:t>
        </w:r>
        <w:proofErr w:type="spellStart"/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>Starnina</w:t>
        </w:r>
        <w:proofErr w:type="spellEnd"/>
      </w:hyperlink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; pintores al tanto de las innovaciones nórdicas,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"https://es.wikipedia.org/wiki/Gentile_da_Fabriano"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Gentile</w:t>
      </w:r>
      <w:proofErr w:type="spellEnd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 xml:space="preserve"> da </w:t>
      </w:r>
      <w:proofErr w:type="spellStart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Fabriano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; y artistas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 revolucionarios 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como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"https://es.wikipedia.org/wiki/Masaccio"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Masaccio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 o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"https://es.wikipedia.org/wiki/Filippo_Brunelleschi"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Brunelleschi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.</w:t>
      </w:r>
    </w:p>
    <w:p w:rsidR="00FF3990" w:rsidRDefault="00662F85" w:rsidP="00662F85">
      <w:pPr>
        <w:shd w:val="clear" w:color="auto" w:fill="FFFFFF"/>
        <w:spacing w:after="0" w:line="428" w:lineRule="atLeast"/>
        <w:textAlignment w:val="baseline"/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</w:pP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Iconográficamente se trata de una obra tradicional cuya tabla central muestra el ciclo de la pérdida (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Adán y Eva expulsados del Paraíso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) y salvación del hombre (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Anunciación de María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), mientras los cinco paneles de la </w:t>
      </w:r>
      <w:proofErr w:type="spellStart"/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predella</w:t>
      </w:r>
      <w:proofErr w:type="spellEnd"/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 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ilustran otros tantos episodios de la </w:t>
      </w:r>
      <w:hyperlink r:id="rId10" w:tgtFrame="_blank" w:history="1"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>vida de la Virgen</w:t>
        </w:r>
      </w:hyperlink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. Sin embargo, en la plasmación visual de estos temas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Fra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Angelico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demostró conocer las transformaciones que estaban sucediéndose en el arte toscano. Así, la minuciosidad en la representación de flores y objetos deriva de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"https://es.wikipedia.org/wiki/Gentile_da_Fabriano"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Gentile</w:t>
      </w:r>
      <w:proofErr w:type="spellEnd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 xml:space="preserve"> da </w:t>
      </w:r>
      <w:proofErr w:type="spellStart"/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Fabriano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, responsable también de la voluntad de unificar el espacio mediante la arquitectura; mientras el intento de profundidad espacial de la 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 xml:space="preserve">camera </w:t>
      </w:r>
      <w:proofErr w:type="spellStart"/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virginis</w:t>
      </w:r>
      <w:proofErr w:type="spellEnd"/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 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remite a cuanto habían hecho 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begin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instrText xml:space="preserve"> HYPERLINK "https://es.wikipedia.org/wiki/Masolino_da_Panicale" \t "_blank" </w:instrTex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separate"/>
      </w:r>
      <w:r w:rsidRPr="00662F85">
        <w:rPr>
          <w:rFonts w:ascii="inherit" w:eastAsia="Times New Roman" w:hAnsi="inherit" w:cs="Times New Roman"/>
          <w:color w:val="A71C15"/>
          <w:sz w:val="29"/>
          <w:szCs w:val="29"/>
          <w:bdr w:val="none" w:sz="0" w:space="0" w:color="auto" w:frame="1"/>
          <w:lang w:eastAsia="es-ES"/>
        </w:rPr>
        <w:t>Masolino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fldChar w:fldCharType="end"/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 y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Masaccio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en la </w:t>
      </w:r>
      <w:hyperlink r:id="rId11" w:tgtFrame="_blank" w:history="1"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t xml:space="preserve">Capilla </w:t>
        </w:r>
        <w:proofErr w:type="spellStart"/>
        <w:r w:rsidRPr="00662F85">
          <w:rPr>
            <w:rFonts w:ascii="inherit" w:eastAsia="Times New Roman" w:hAnsi="inherit" w:cs="Times New Roman"/>
            <w:color w:val="A71C15"/>
            <w:sz w:val="29"/>
            <w:szCs w:val="29"/>
            <w:bdr w:val="none" w:sz="0" w:space="0" w:color="auto" w:frame="1"/>
            <w:lang w:eastAsia="es-ES"/>
          </w:rPr>
          <w:lastRenderedPageBreak/>
          <w:t>Brancacci</w:t>
        </w:r>
        <w:proofErr w:type="spellEnd"/>
      </w:hyperlink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. De igual modo, la estructura que cobija </w:t>
      </w:r>
      <w:r w:rsidRPr="00662F85">
        <w:rPr>
          <w:rFonts w:ascii="inherit" w:eastAsia="Times New Roman" w:hAnsi="inherit" w:cs="Times New Roman"/>
          <w:i/>
          <w:iCs/>
          <w:color w:val="6C6C6C"/>
          <w:sz w:val="29"/>
          <w:szCs w:val="29"/>
          <w:bdr w:val="none" w:sz="0" w:space="0" w:color="auto" w:frame="1"/>
          <w:lang w:eastAsia="es-ES"/>
        </w:rPr>
        <w:t>La Anunciación</w:t>
      </w:r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 fue de las primeras en seguir la recomendación dada en 1425 por </w:t>
      </w:r>
      <w:proofErr w:type="spellStart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>Brunelleschi</w:t>
      </w:r>
      <w:proofErr w:type="spellEnd"/>
      <w:r w:rsidRPr="00662F85"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  <w:t xml:space="preserve"> para los retablos de San Lorenzo, que debían ser cuadrados y sin adornos.</w:t>
      </w:r>
    </w:p>
    <w:p w:rsidR="00743390" w:rsidRDefault="00743390">
      <w:pPr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</w:pPr>
    </w:p>
    <w:p w:rsidR="00743390" w:rsidRDefault="00743390" w:rsidP="00743390">
      <w:pPr>
        <w:pStyle w:val="Ttulo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DESCRIPCIÓN DEL CUADRO</w:t>
      </w:r>
    </w:p>
    <w:p w:rsidR="00FF3990" w:rsidRDefault="00FF3990" w:rsidP="00FF3990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Fra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Angelico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representa en su obra dos escenas íntimamente ligadas. Por un lado, en la parte derecha de la tabla y ocupando la mayor parte de ésta, aparecen representados María y el arcángel San Gabriel. La Virgen sedente estaba leyendo a la llegada del ángel, ha posado el libro en su regazo y cruza las manos sobre su pecho inclinándose para realizar una reverencia. El arcángel llegado desde el cielo, responde con la misma reverencia a la Madre de Dios. Ambos personajes son rubios, de rasgos estilizados y poco proporcionados, sus dimensiones (demasiado grandes) nos remiten todavía a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</w:rPr>
        <w:t>ecos medievalistas</w:t>
      </w:r>
      <w:r>
        <w:rPr>
          <w:rFonts w:ascii="Arial" w:hAnsi="Arial" w:cs="Arial"/>
          <w:color w:val="333333"/>
          <w:sz w:val="21"/>
          <w:szCs w:val="21"/>
        </w:rPr>
        <w:t> de proporciones jerárquicas.</w:t>
      </w:r>
    </w:p>
    <w:p w:rsidR="00FF3990" w:rsidRDefault="00FF3990" w:rsidP="00FF3990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Ambos personajes están cobijados bajo un pórtico abierto realizado en mármol, que remite al Hospital de los Inocentes realizado por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Brunelleschi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aquellos años. Al fondo una estancia abierta en la que se dejan ver algunos sencillos muebles induce a la profundidad.</w:t>
      </w:r>
    </w:p>
    <w:p w:rsidR="00FF3990" w:rsidRDefault="00FF3990" w:rsidP="00FF3990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parte izquierda de la tabla está ocupada por la expulsión del paraíso de Adán y Eva. Ambos ya vestidos y completamente avergonzados son expulsados del Edén por un ángel. Sobre ellos, en la esquina superior derecha, las manos de Dios asoman resplandecientes enviando un haz de luz y al Espíritu Santo, representado en forma de paloma, hacia la joven María.</w:t>
      </w:r>
    </w:p>
    <w:p w:rsidR="00FF3990" w:rsidRDefault="00FF3990" w:rsidP="00FF3990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Las pálidas encarnaciones de los personajes resaltan sobre los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</w:rPr>
        <w:t>colores brillantes</w:t>
      </w:r>
      <w:r>
        <w:rPr>
          <w:rFonts w:ascii="Arial" w:hAnsi="Arial" w:cs="Arial"/>
          <w:color w:val="333333"/>
          <w:sz w:val="21"/>
          <w:szCs w:val="21"/>
        </w:rPr>
        <w:t xml:space="preserve"> típicos de la primera etapa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Angelico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El brillante azul de las bóvedas y del manto de María se contrapone con el rojizo de la túnica que viste el arcángel y el vestido de la Virgen. Los colores fríos y sosegados ayudan a trasmitir la paz y trascendencia del momento. El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</w:rPr>
        <w:t>detallismo</w:t>
      </w:r>
      <w:r>
        <w:rPr>
          <w:rFonts w:ascii="Arial" w:hAnsi="Arial" w:cs="Arial"/>
          <w:color w:val="333333"/>
          <w:sz w:val="21"/>
          <w:szCs w:val="21"/>
        </w:rPr>
        <w:t xml:space="preserve"> de la composición es asombroso destacando las exquisitas alas del ángel, de cuya minuciosidad se desprende el estudio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Angelico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las alas de las aves.</w:t>
      </w:r>
    </w:p>
    <w:p w:rsidR="00FF3990" w:rsidRDefault="00FF3990" w:rsidP="00FF3990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El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</w:rPr>
        <w:t>simbolismo</w:t>
      </w:r>
      <w:r>
        <w:rPr>
          <w:rFonts w:ascii="Arial" w:hAnsi="Arial" w:cs="Arial"/>
          <w:color w:val="333333"/>
          <w:sz w:val="21"/>
          <w:szCs w:val="21"/>
        </w:rPr>
        <w:t> de la obra es patente: Adán y Eva, los primeros padres, fueron el origen del pecado, la caída del hombre. María, es la madre del Salvador, con ella comienza la salvación del hombre y el fin del pecado.</w:t>
      </w:r>
    </w:p>
    <w:p w:rsidR="00FF3990" w:rsidRDefault="00FF3990" w:rsidP="00FF3990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 tabla se trata de una obra de juventud realizada entre 1426-1428, en ella son notables las diversas corrientes que influyeron el arte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Angelico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Por un lado el detallismo y la minuciosidad lo relacionan con las obras del norte de Europa, seguramente conocidas a través de 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Gentile</w:t>
      </w:r>
      <w:proofErr w:type="spellEnd"/>
      <w:r>
        <w:rPr>
          <w:rStyle w:val="nf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da 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Fabriano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 la búsqueda de la perspectiva se hace ecos de los avances introducidos por 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Masaccio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y el tratamiento de la arquitectura responde a las directrices arquitectónicas recomendadas por el mismísimo</w:t>
      </w:r>
      <w:r>
        <w:rPr>
          <w:rStyle w:val="nf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nf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Brunelleschi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564D7" w:rsidRPr="00662F85" w:rsidRDefault="00743390" w:rsidP="00662F85">
      <w:pPr>
        <w:shd w:val="clear" w:color="auto" w:fill="FFFFFF"/>
        <w:spacing w:after="0" w:line="428" w:lineRule="atLeast"/>
        <w:textAlignment w:val="baseline"/>
        <w:rPr>
          <w:rFonts w:ascii="inherit" w:eastAsia="Times New Roman" w:hAnsi="inherit" w:cs="Times New Roman"/>
          <w:color w:val="6C6C6C"/>
          <w:sz w:val="29"/>
          <w:szCs w:val="29"/>
          <w:lang w:eastAsia="es-ES"/>
        </w:rPr>
      </w:pPr>
    </w:p>
    <w:sectPr w:rsidR="00E564D7" w:rsidRPr="00662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 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5"/>
    <w:rsid w:val="001E6C09"/>
    <w:rsid w:val="00662F85"/>
    <w:rsid w:val="006A77E1"/>
    <w:rsid w:val="00743390"/>
    <w:rsid w:val="00B520A5"/>
    <w:rsid w:val="00CE00E0"/>
    <w:rsid w:val="00EC4EEE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4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2F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62F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62F85"/>
    <w:rPr>
      <w:i/>
      <w:iCs/>
    </w:rPr>
  </w:style>
  <w:style w:type="paragraph" w:customStyle="1" w:styleId="extract">
    <w:name w:val="extract"/>
    <w:basedOn w:val="Normal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4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4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4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4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2F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62F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62F85"/>
    <w:rPr>
      <w:i/>
      <w:iCs/>
    </w:rPr>
  </w:style>
  <w:style w:type="paragraph" w:customStyle="1" w:styleId="extract">
    <w:name w:val="extract"/>
    <w:basedOn w:val="Normal"/>
    <w:rsid w:val="006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4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4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4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orenzo_Mona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useo_del_Pra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Florencia" TargetMode="External"/><Relationship Id="rId11" Type="http://schemas.openxmlformats.org/officeDocument/2006/relationships/hyperlink" Target="https://es.wikipedia.org/wiki/Capilla_Brancacci" TargetMode="External"/><Relationship Id="rId5" Type="http://schemas.openxmlformats.org/officeDocument/2006/relationships/hyperlink" Target="https://www.museodelprado.es/coleccion/obras-de-arte?cidoc:p55_has_current_location=Sala%20056B&amp;ordenarPor=pm:relevance" TargetMode="External"/><Relationship Id="rId10" Type="http://schemas.openxmlformats.org/officeDocument/2006/relationships/hyperlink" Target="https://es.wikipedia.org/wiki/Vida_de_la_Vir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Gherardo_Starn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home</dc:creator>
  <cp:lastModifiedBy>peter home</cp:lastModifiedBy>
  <cp:revision>5</cp:revision>
  <cp:lastPrinted>2020-03-26T10:32:00Z</cp:lastPrinted>
  <dcterms:created xsi:type="dcterms:W3CDTF">2020-03-26T10:29:00Z</dcterms:created>
  <dcterms:modified xsi:type="dcterms:W3CDTF">2020-03-27T17:40:00Z</dcterms:modified>
</cp:coreProperties>
</file>